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9E4036" w:rsidRDefault="009E4036"/>
    <w:tbl>
      <w:tblPr>
        <w:tblW w:w="10650" w:type="dxa"/>
        <w:tblInd w:w="51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0650"/>
      </w:tblGrid>
      <w:tr w:rsidR="009E4036">
        <w:tc>
          <w:tcPr>
            <w:tcW w:w="1065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9E4036" w:rsidRDefault="009E4036">
            <w:pPr>
              <w:pStyle w:val="Contedodatabela"/>
              <w:snapToGrid w:val="0"/>
              <w:rPr>
                <w:rFonts w:ascii="Arial" w:hAnsi="Arial" w:cs="Arial"/>
              </w:rPr>
            </w:pPr>
          </w:p>
          <w:p w:rsidR="009E4036" w:rsidRDefault="00AB3D95">
            <w:pPr>
              <w:tabs>
                <w:tab w:val="left" w:pos="-1620"/>
              </w:tabs>
              <w:ind w:left="-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SUBDIREÇÃO GERAL</w:t>
            </w:r>
          </w:p>
          <w:p w:rsidR="009E4036" w:rsidRDefault="00AB3D95">
            <w:pPr>
              <w:pStyle w:val="western"/>
              <w:pBdr>
                <w:bottom w:val="single" w:sz="6" w:space="0" w:color="000001"/>
              </w:pBdr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Processo Administrativo nº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____/____</w:t>
            </w:r>
          </w:p>
          <w:p w:rsidR="009E4036" w:rsidRDefault="00AB3D95">
            <w:pPr>
              <w:pStyle w:val="western"/>
              <w:pBdr>
                <w:bottom w:val="single" w:sz="6" w:space="0" w:color="000001"/>
              </w:pBdr>
              <w:tabs>
                <w:tab w:val="left" w:pos="10545"/>
              </w:tabs>
              <w:spacing w:before="0" w:after="0"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Assunto: </w:t>
            </w:r>
          </w:p>
          <w:p w:rsidR="001E684D" w:rsidRDefault="001E684D">
            <w:pPr>
              <w:pStyle w:val="NormalWeb1"/>
              <w:spacing w:after="28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4036" w:rsidRDefault="00AB3D95">
            <w:pPr>
              <w:pStyle w:val="NormalWeb1"/>
              <w:spacing w:after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CONCLUSÃO</w:t>
            </w:r>
          </w:p>
          <w:p w:rsidR="009E4036" w:rsidRDefault="009E4036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84D" w:rsidRDefault="001E684D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4036" w:rsidRDefault="00AB3D95">
            <w:pPr>
              <w:pStyle w:val="NormalWeb1"/>
              <w:spacing w:after="28"/>
              <w:ind w:left="1701" w:right="17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Faço estes autos conclusos ao Excelentíssimo Desembargador Presidente do Tribunal de Justiça do Estado de Alagoas.</w:t>
            </w:r>
          </w:p>
          <w:p w:rsidR="009E4036" w:rsidRDefault="009E4036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4036" w:rsidRDefault="00AB3D95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Maceió/AL,         de                    de 202</w:t>
            </w:r>
            <w:r w:rsidR="000762A2">
              <w:rPr>
                <w:rFonts w:ascii="Arial" w:hAnsi="Arial" w:cs="Arial"/>
                <w:sz w:val="20"/>
                <w:szCs w:val="20"/>
              </w:rPr>
              <w:t>___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4036" w:rsidRDefault="009E4036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4036" w:rsidRDefault="009E4036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4036" w:rsidRDefault="00AB3D95">
            <w:pPr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_________________________________________</w:t>
            </w:r>
          </w:p>
          <w:p w:rsidR="009E4036" w:rsidRDefault="00AB3D95">
            <w:pPr>
              <w:numPr>
                <w:ilvl w:val="0"/>
                <w:numId w:val="2"/>
              </w:numPr>
              <w:tabs>
                <w:tab w:val="left" w:pos="0"/>
                <w:tab w:val="left" w:pos="708"/>
                <w:tab w:val="center" w:pos="4419"/>
                <w:tab w:val="right" w:pos="8838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Subdiretor Geral </w:t>
            </w:r>
          </w:p>
          <w:p w:rsidR="009E4036" w:rsidRDefault="009E4036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4036" w:rsidRDefault="009E4036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E4036" w:rsidRDefault="00AB3D95">
            <w:pPr>
              <w:pStyle w:val="NormalWeb1"/>
              <w:spacing w:after="2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DESPACHO</w:t>
            </w:r>
          </w:p>
          <w:p w:rsidR="009E4036" w:rsidRDefault="009E4036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1E684D" w:rsidRDefault="001E684D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4036" w:rsidRDefault="00AB3D95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Considerando a documentação constante no Processo Administrativo em epígrafe, sobretudo o </w:t>
            </w:r>
            <w:r>
              <w:rPr>
                <w:rFonts w:ascii="Arial" w:hAnsi="Arial" w:cs="Arial"/>
                <w:sz w:val="20"/>
                <w:szCs w:val="20"/>
                <w:shd w:val="clear" w:color="auto" w:fill="CCCCCC"/>
              </w:rPr>
              <w:t>[Despacho/Parecer]</w:t>
            </w:r>
            <w:r>
              <w:rPr>
                <w:rFonts w:ascii="Arial" w:hAnsi="Arial" w:cs="Arial"/>
                <w:sz w:val="20"/>
                <w:szCs w:val="20"/>
              </w:rPr>
              <w:t xml:space="preserve"> GPAPJ n° ____/20___, emanado pela Douta Procuradoria Administrativa,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AUTORIZO </w:t>
            </w:r>
            <w:r>
              <w:rPr>
                <w:rFonts w:ascii="Arial" w:hAnsi="Arial" w:cs="Arial"/>
                <w:sz w:val="20"/>
                <w:szCs w:val="20"/>
              </w:rPr>
              <w:t xml:space="preserve">a aquisição 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Nota de Empenho nº ____/202</w:t>
            </w:r>
            <w:r w:rsidR="009E3FC9">
              <w:rPr>
                <w:rFonts w:ascii="Arial" w:hAnsi="Arial" w:cs="Arial"/>
                <w:b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 xml:space="preserve">, em decorrência de dispensa de licitação, com fundamento no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art. 75,</w:t>
            </w:r>
            <w:r>
              <w:rPr>
                <w:rFonts w:ascii="Arial" w:hAnsi="Arial" w:cs="Arial"/>
                <w:sz w:val="20"/>
                <w:szCs w:val="20"/>
              </w:rPr>
              <w:t xml:space="preserve"> [</w:t>
            </w:r>
            <w:r>
              <w:rPr>
                <w:rFonts w:ascii="Arial" w:hAnsi="Arial" w:cs="Arial"/>
                <w:b/>
                <w:bCs/>
                <w:sz w:val="20"/>
                <w:szCs w:val="20"/>
                <w:shd w:val="clear" w:color="auto" w:fill="CCCCCC"/>
              </w:rPr>
              <w:t>I a XVIII,</w:t>
            </w:r>
            <w:r>
              <w:rPr>
                <w:rFonts w:ascii="Arial" w:hAnsi="Arial" w:cs="Arial"/>
                <w:sz w:val="20"/>
                <w:szCs w:val="20"/>
                <w:shd w:val="clear" w:color="auto" w:fill="CCCCCC"/>
              </w:rPr>
              <w:t xml:space="preserve"> indicar os parágrafos correlatos, se houver</w:t>
            </w:r>
            <w:r>
              <w:rPr>
                <w:rFonts w:ascii="Arial" w:hAnsi="Arial" w:cs="Arial"/>
                <w:sz w:val="20"/>
                <w:szCs w:val="20"/>
              </w:rPr>
              <w:t>] da Lei nº 14.133/2021, que possui por objeto a aquisição de ________________________________, a ser firmad</w:t>
            </w:r>
            <w:r w:rsidR="001E684D">
              <w:rPr>
                <w:rFonts w:ascii="Arial" w:hAnsi="Arial" w:cs="Arial"/>
                <w:sz w:val="20"/>
                <w:szCs w:val="20"/>
              </w:rPr>
              <w:t>o com a Contratada/Fornecedora:</w:t>
            </w:r>
          </w:p>
          <w:p w:rsidR="001E684D" w:rsidRDefault="001E684D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36" w:rsidRDefault="00AB3D95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1 -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____________________</w:t>
            </w:r>
            <w:r>
              <w:rPr>
                <w:rFonts w:ascii="Arial" w:hAnsi="Arial" w:cs="Arial"/>
                <w:sz w:val="20"/>
                <w:szCs w:val="20"/>
              </w:rPr>
              <w:t>, CNPJ nº _______________________, no valor de R$ ______________</w:t>
            </w:r>
            <w:r>
              <w:rPr>
                <w:rFonts w:ascii="Arial" w:hAnsi="Arial" w:cs="Arial"/>
                <w:b/>
                <w:sz w:val="20"/>
                <w:szCs w:val="20"/>
              </w:rPr>
              <w:t>(_______________);</w:t>
            </w:r>
          </w:p>
          <w:p w:rsidR="001E684D" w:rsidRDefault="001E684D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36" w:rsidRPr="001E684D" w:rsidRDefault="00AB3D95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Conforme preceitua o art. 91 da Lei 14.133/21</w:t>
            </w:r>
            <w:r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1"/>
            </w:r>
            <w:r>
              <w:rPr>
                <w:rFonts w:ascii="Arial" w:hAnsi="Arial" w:cs="Arial"/>
                <w:sz w:val="20"/>
                <w:szCs w:val="20"/>
              </w:rPr>
              <w:t xml:space="preserve">, se revela indispensável a apresentação de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certidões de regularidade fiscal e trabalhista, das seguintes declarações</w:t>
            </w:r>
            <w:r>
              <w:rPr>
                <w:rFonts w:ascii="Arial" w:hAnsi="Arial" w:cs="Arial"/>
                <w:sz w:val="20"/>
                <w:szCs w:val="20"/>
              </w:rPr>
              <w:t>: inexistência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de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impedimento</w:t>
            </w:r>
            <w:r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legal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para</w:t>
            </w:r>
            <w:r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licitar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ou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contratar</w:t>
            </w:r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</w:t>
            </w:r>
            <w:r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pacing w:val="57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administração</w:t>
            </w:r>
            <w:r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pública; atendimento d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os requisitos do edital ou do aviso de contratação direta; Declaração em atendimento ao disposto </w:t>
            </w: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>inciso XXXIII do art. 7</w:t>
            </w: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  <w:vertAlign w:val="superscript"/>
              </w:rPr>
              <w:t>o</w:t>
            </w:r>
            <w:r>
              <w:rPr>
                <w:rStyle w:val="Hyperlink"/>
                <w:rFonts w:ascii="Arial" w:hAnsi="Arial" w:cs="Arial"/>
                <w:color w:val="000000"/>
                <w:position w:val="6"/>
                <w:sz w:val="20"/>
                <w:szCs w:val="20"/>
                <w:u w:val="none"/>
              </w:rPr>
              <w:t xml:space="preserve"> </w:t>
            </w:r>
            <w:r>
              <w:rPr>
                <w:rStyle w:val="Hyperlink"/>
                <w:rFonts w:ascii="Arial" w:hAnsi="Arial" w:cs="Arial"/>
                <w:color w:val="000000"/>
                <w:sz w:val="20"/>
                <w:szCs w:val="20"/>
                <w:u w:val="none"/>
              </w:rPr>
              <w:t xml:space="preserve">da Constituição Federal; </w:t>
            </w:r>
            <w:r>
              <w:rPr>
                <w:rFonts w:ascii="Arial" w:hAnsi="Arial" w:cs="Arial"/>
                <w:sz w:val="20"/>
                <w:szCs w:val="20"/>
              </w:rPr>
              <w:t>Declaração conforme Resoluções nº156, de 08 de agosto de 2012; nº07, de 18 de outubro de 2005,</w:t>
            </w:r>
            <w:r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 as alterações promovidas pela Resolução nº 229, de 22 de junho de 2016, do Conselho Nacional de</w:t>
            </w:r>
            <w:r>
              <w:rPr>
                <w:rFonts w:ascii="Arial" w:hAnsi="Arial" w:cs="Arial"/>
                <w:spacing w:val="-53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Justiça</w:t>
            </w:r>
            <w:r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–CNJ; e 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consulta prévia  aos cadastros:</w:t>
            </w:r>
            <w:r>
              <w:rPr>
                <w:rFonts w:ascii="Arial" w:hAnsi="Arial" w:cs="Arial"/>
                <w:sz w:val="20"/>
                <w:szCs w:val="20"/>
              </w:rPr>
              <w:t xml:space="preserve"> Licitante inidôneos (TCU), Cadastro Nacional de Empresas </w:t>
            </w:r>
            <w:r w:rsidRPr="001E684D">
              <w:rPr>
                <w:rFonts w:ascii="Arial" w:hAnsi="Arial" w:cs="Arial"/>
                <w:sz w:val="20"/>
                <w:szCs w:val="20"/>
              </w:rPr>
              <w:t>Inidôneas e Suspensas – CEIS ( CGU) e Cadastro Nacional de Empresas Punidas – CNEP.</w:t>
            </w:r>
          </w:p>
          <w:p w:rsidR="009E4036" w:rsidRDefault="00AB3D95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684D">
              <w:rPr>
                <w:rFonts w:ascii="Arial" w:hAnsi="Arial" w:cs="Arial"/>
                <w:sz w:val="20"/>
                <w:szCs w:val="20"/>
              </w:rPr>
              <w:t>Sigam os autos ao [</w:t>
            </w:r>
            <w:r w:rsidRPr="001E684D">
              <w:rPr>
                <w:rFonts w:ascii="Arial" w:hAnsi="Arial" w:cs="Arial"/>
                <w:b/>
                <w:sz w:val="20"/>
                <w:szCs w:val="20"/>
              </w:rPr>
              <w:t>Departamento Central de Aquisições – DCA</w:t>
            </w:r>
            <w:r w:rsidRPr="001E684D">
              <w:rPr>
                <w:rFonts w:ascii="Arial" w:hAnsi="Arial" w:cs="Arial"/>
                <w:sz w:val="20"/>
                <w:szCs w:val="20"/>
              </w:rPr>
              <w:t xml:space="preserve">, para realizar a publicação da dispensa com fulcro no </w:t>
            </w:r>
            <w:r w:rsidRPr="001E684D">
              <w:rPr>
                <w:rFonts w:ascii="Arial" w:hAnsi="Arial" w:cs="Arial"/>
                <w:b/>
                <w:sz w:val="20"/>
                <w:szCs w:val="20"/>
              </w:rPr>
              <w:t>Art. 75, III, a) da Lei 14.133/2021 c/c Art</w:t>
            </w:r>
            <w:r w:rsidR="001E684D" w:rsidRPr="001E684D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1E684D">
              <w:rPr>
                <w:rFonts w:ascii="Arial" w:hAnsi="Arial" w:cs="Arial"/>
                <w:b/>
                <w:sz w:val="20"/>
                <w:szCs w:val="20"/>
              </w:rPr>
              <w:t xml:space="preserve"> 22, III do Ato Normativo nº 17/2022</w:t>
            </w:r>
            <w:r w:rsidRPr="001E684D">
              <w:rPr>
                <w:rStyle w:val="Refdenotaderodap"/>
                <w:rFonts w:ascii="Arial" w:hAnsi="Arial" w:cs="Arial"/>
              </w:rPr>
              <w:footnoteReference w:id="2"/>
            </w:r>
            <w:r w:rsidRPr="001E684D">
              <w:rPr>
                <w:rStyle w:val="Refdenotaderodap"/>
              </w:rPr>
              <w:t xml:space="preserve"> </w:t>
            </w:r>
            <w:r w:rsidRPr="001E684D">
              <w:rPr>
                <w:rFonts w:ascii="Arial" w:hAnsi="Arial" w:cs="Arial"/>
                <w:sz w:val="20"/>
                <w:szCs w:val="20"/>
              </w:rPr>
              <w:t>no Portal Nacional de Contratações Públicas – PNCP, devendo, em seguida, o processo evoluir ao Departamento Financeiro deste Sodalício para emissão da nota de empenho da despesa, consoante art. 95, I da Lei 14.133/2021</w:t>
            </w:r>
            <w:r w:rsidRPr="001E684D">
              <w:rPr>
                <w:rStyle w:val="Refdenotaderodap"/>
                <w:rFonts w:ascii="Arial" w:hAnsi="Arial" w:cs="Arial"/>
                <w:sz w:val="20"/>
                <w:szCs w:val="20"/>
              </w:rPr>
              <w:footnoteReference w:id="3"/>
            </w:r>
            <w:r w:rsidRPr="001E684D">
              <w:rPr>
                <w:rFonts w:ascii="Arial" w:hAnsi="Arial" w:cs="Arial"/>
                <w:sz w:val="20"/>
                <w:szCs w:val="20"/>
              </w:rPr>
              <w:t xml:space="preserve">. Em seguida, deve o processo retornar à </w:t>
            </w:r>
            <w:r w:rsidRPr="001E684D">
              <w:rPr>
                <w:rFonts w:ascii="Arial" w:hAnsi="Arial" w:cs="Arial"/>
                <w:sz w:val="20"/>
                <w:szCs w:val="20"/>
                <w:u w:val="single"/>
              </w:rPr>
              <w:t>Subdireção Geral</w:t>
            </w:r>
            <w:r w:rsidRPr="001E684D">
              <w:rPr>
                <w:rFonts w:ascii="Arial" w:hAnsi="Arial" w:cs="Arial"/>
                <w:sz w:val="20"/>
                <w:szCs w:val="20"/>
              </w:rPr>
              <w:t xml:space="preserve"> para continuidade.</w:t>
            </w:r>
          </w:p>
          <w:p w:rsidR="001E684D" w:rsidRDefault="001E684D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36" w:rsidRDefault="009E4036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9E4036" w:rsidRDefault="00AB3D95">
            <w:pPr>
              <w:pStyle w:val="WW-Padro"/>
              <w:tabs>
                <w:tab w:val="left" w:pos="3799"/>
                <w:tab w:val="left" w:pos="4820"/>
                <w:tab w:val="right" w:pos="6547"/>
              </w:tabs>
              <w:suppressAutoHyphens w:val="0"/>
              <w:spacing w:after="29" w:line="100" w:lineRule="atLeast"/>
              <w:ind w:right="51" w:firstLine="80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Maceió/AL,               de                              de 202</w:t>
            </w:r>
            <w:r w:rsidR="000762A2">
              <w:rPr>
                <w:rFonts w:ascii="Arial" w:hAnsi="Arial" w:cs="Arial"/>
                <w:sz w:val="20"/>
                <w:szCs w:val="20"/>
              </w:rPr>
              <w:t>__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E4036" w:rsidRDefault="009E4036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4036" w:rsidRDefault="009E4036">
            <w:pPr>
              <w:pStyle w:val="NormalWeb1"/>
              <w:spacing w:after="28"/>
              <w:ind w:left="1701" w:right="1700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9E4036" w:rsidRDefault="00AB3D95">
            <w:pPr>
              <w:pStyle w:val="Corpodetexto"/>
              <w:widowControl w:val="0"/>
              <w:ind w:right="1044" w:firstLine="9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Des._______________________________________________</w:t>
            </w:r>
          </w:p>
          <w:p w:rsidR="009E4036" w:rsidRDefault="00AB3D95">
            <w:pPr>
              <w:pStyle w:val="Corpodetexto"/>
              <w:widowControl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Presidente do Tribunal de Justiça do Estado de Alagoas</w:t>
            </w:r>
          </w:p>
        </w:tc>
      </w:tr>
    </w:tbl>
    <w:p w:rsidR="009E4036" w:rsidRDefault="009E4036">
      <w:pPr>
        <w:rPr>
          <w:rFonts w:ascii="Arial" w:hAnsi="Arial" w:cs="Arial"/>
        </w:rPr>
      </w:pPr>
      <w:bookmarkStart w:id="1" w:name="art95§2"/>
      <w:bookmarkStart w:id="2" w:name="art95§1"/>
      <w:bookmarkStart w:id="3" w:name="art95ii"/>
      <w:bookmarkStart w:id="4" w:name="art95i"/>
      <w:bookmarkStart w:id="5" w:name="art91§412"/>
      <w:bookmarkEnd w:id="1"/>
      <w:bookmarkEnd w:id="2"/>
      <w:bookmarkEnd w:id="3"/>
      <w:bookmarkEnd w:id="4"/>
      <w:bookmarkEnd w:id="5"/>
    </w:p>
    <w:sectPr w:rsidR="009E4036">
      <w:headerReference w:type="default" r:id="rId7"/>
      <w:pgSz w:w="11906" w:h="16838"/>
      <w:pgMar w:top="917" w:right="567" w:bottom="284" w:left="851" w:header="860" w:footer="0" w:gutter="0"/>
      <w:cols w:space="720"/>
      <w:formProt w:val="0"/>
      <w:docGrid w:linePitch="249" w:charSpace="98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210A" w:rsidRDefault="00B0210A">
      <w:r>
        <w:separator/>
      </w:r>
    </w:p>
  </w:endnote>
  <w:endnote w:type="continuationSeparator" w:id="0">
    <w:p w:rsidR="00B0210A" w:rsidRDefault="00B0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 PSMT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210A" w:rsidRDefault="00B0210A">
      <w:pPr>
        <w:rPr>
          <w:sz w:val="12"/>
        </w:rPr>
      </w:pPr>
      <w:r>
        <w:separator/>
      </w:r>
    </w:p>
  </w:footnote>
  <w:footnote w:type="continuationSeparator" w:id="0">
    <w:p w:rsidR="00B0210A" w:rsidRDefault="00B0210A">
      <w:pPr>
        <w:rPr>
          <w:sz w:val="12"/>
        </w:rPr>
      </w:pPr>
      <w:r>
        <w:continuationSeparator/>
      </w:r>
    </w:p>
  </w:footnote>
  <w:footnote w:id="1">
    <w:p w:rsidR="009E4036" w:rsidRDefault="00AB3D95">
      <w:pPr>
        <w:pStyle w:val="Textodenotaderodap"/>
        <w:widowControl w:val="0"/>
        <w:ind w:left="0" w:firstLine="0"/>
        <w:jc w:val="both"/>
      </w:pPr>
      <w:r>
        <w:rPr>
          <w:rStyle w:val="Caracteresdenotaderodap"/>
        </w:rPr>
        <w:footnoteRef/>
      </w:r>
      <w:r>
        <w:rPr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>Art. 91. Os contratos e seus aditamentos terão forma escrita e serão juntados ao processo que tiver dado origem à contratação, divulgados e mantidos à disposição do público em sítio eletrônico oficial. […]</w:t>
      </w:r>
    </w:p>
    <w:p w:rsidR="009E4036" w:rsidRPr="001E684D" w:rsidRDefault="00AB3D95">
      <w:pPr>
        <w:pStyle w:val="Textodenotaderodap"/>
        <w:widowControl w:val="0"/>
        <w:ind w:left="0" w:firstLine="0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§ 4º Antes de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formalizar ou prorrogar o prazo de vigência do contrato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, a Administração deverá verificar a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regularidade fiscal do contratado, consultar o Cadastro Nacional de Empresas Inidôneas e Suspensas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Ceis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) e o Cadastro Nacional de Empresas Punidas (</w:t>
      </w:r>
      <w:proofErr w:type="spellStart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Cnep</w:t>
      </w:r>
      <w:proofErr w:type="spellEnd"/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), emitir as certidões negativas de inidoneidade, de impedimento e de débitos trabalhistas e juntá-las ao respectivo processo</w:t>
      </w:r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</w:footnote>
  <w:footnote w:id="2">
    <w:p w:rsidR="009E4036" w:rsidRPr="001E684D" w:rsidRDefault="00AB3D95">
      <w:pPr>
        <w:pStyle w:val="Textodenotaderodap"/>
        <w:ind w:left="170" w:hanging="170"/>
        <w:rPr>
          <w:rFonts w:ascii="Arial" w:hAnsi="Arial" w:cs="Arial"/>
          <w:i/>
          <w:iCs/>
          <w:color w:val="000000"/>
          <w:sz w:val="16"/>
          <w:szCs w:val="16"/>
        </w:rPr>
      </w:pPr>
      <w:r w:rsidRPr="001E684D">
        <w:rPr>
          <w:rFonts w:ascii="Arial" w:hAnsi="Arial" w:cs="Arial"/>
          <w:i/>
          <w:iCs/>
          <w:color w:val="000000"/>
          <w:sz w:val="16"/>
          <w:szCs w:val="16"/>
        </w:rPr>
        <w:footnoteRef/>
      </w:r>
      <w:r w:rsidR="001E684D" w:rsidRPr="001E684D">
        <w:rPr>
          <w:rFonts w:ascii="Arial" w:hAnsi="Arial" w:cs="Arial"/>
          <w:i/>
          <w:iCs/>
          <w:color w:val="000000"/>
          <w:sz w:val="16"/>
          <w:szCs w:val="16"/>
        </w:rPr>
        <w:tab/>
        <w:t>Art.</w:t>
      </w:r>
      <w:r w:rsidRPr="001E684D">
        <w:rPr>
          <w:rFonts w:ascii="Arial" w:hAnsi="Arial" w:cs="Arial"/>
          <w:i/>
          <w:iCs/>
          <w:color w:val="000000"/>
          <w:sz w:val="16"/>
          <w:szCs w:val="16"/>
        </w:rPr>
        <w:t xml:space="preserve"> 22. No Caso do procedimento restar </w:t>
      </w:r>
      <w:r w:rsidRPr="001E684D">
        <w:rPr>
          <w:rFonts w:ascii="Arial" w:hAnsi="Arial" w:cs="Arial"/>
          <w:b/>
          <w:i/>
          <w:iCs/>
          <w:color w:val="000000"/>
          <w:sz w:val="16"/>
          <w:szCs w:val="16"/>
        </w:rPr>
        <w:t>fracassado</w:t>
      </w:r>
      <w:r w:rsidRPr="001E684D">
        <w:rPr>
          <w:rFonts w:ascii="Arial" w:hAnsi="Arial" w:cs="Arial"/>
          <w:i/>
          <w:iCs/>
          <w:color w:val="000000"/>
          <w:sz w:val="16"/>
          <w:szCs w:val="16"/>
        </w:rPr>
        <w:t xml:space="preserve">, o Tribunal de Justiça do Estado de Alagoas poderá: </w:t>
      </w:r>
    </w:p>
    <w:p w:rsidR="009E4036" w:rsidRPr="001E684D" w:rsidRDefault="00AB3D95">
      <w:pPr>
        <w:pStyle w:val="Textodenotaderodap"/>
        <w:ind w:left="0" w:firstLine="0"/>
        <w:rPr>
          <w:rFonts w:ascii="Arial" w:hAnsi="Arial" w:cs="Arial"/>
          <w:i/>
          <w:iCs/>
          <w:color w:val="000000"/>
          <w:sz w:val="16"/>
          <w:szCs w:val="16"/>
        </w:rPr>
      </w:pPr>
      <w:r w:rsidRPr="001E684D">
        <w:rPr>
          <w:rFonts w:ascii="Arial" w:hAnsi="Arial" w:cs="Arial"/>
          <w:i/>
          <w:iCs/>
          <w:color w:val="000000"/>
          <w:sz w:val="16"/>
          <w:szCs w:val="16"/>
        </w:rPr>
        <w:t xml:space="preserve">[…]  III – valer-se, para a contratação, de proposta obtida na pesquisa de preços que serviu de base ao procedimento, se houver, privilegiando-se os menores preços, sempre que possível, e desde que atendidas às condições de habilitação exigidas. </w:t>
      </w:r>
    </w:p>
    <w:p w:rsidR="009E4036" w:rsidRPr="001E684D" w:rsidRDefault="00AB3D95">
      <w:pPr>
        <w:pStyle w:val="Textodenotaderodap"/>
        <w:ind w:left="0" w:firstLine="0"/>
        <w:rPr>
          <w:rFonts w:ascii="Arial" w:hAnsi="Arial" w:cs="Arial"/>
          <w:i/>
          <w:iCs/>
          <w:color w:val="000000"/>
          <w:sz w:val="16"/>
          <w:szCs w:val="16"/>
        </w:rPr>
      </w:pPr>
      <w:r w:rsidRPr="001E684D">
        <w:rPr>
          <w:rFonts w:ascii="Arial" w:hAnsi="Arial" w:cs="Arial"/>
          <w:i/>
          <w:iCs/>
          <w:color w:val="000000"/>
          <w:sz w:val="16"/>
          <w:szCs w:val="16"/>
        </w:rPr>
        <w:t xml:space="preserve">Parágrafo Único. O disposto nos incisos I e III caput poderá ser utilizado nas hipóteses de o procedimento restar </w:t>
      </w:r>
      <w:r w:rsidRPr="001E684D">
        <w:rPr>
          <w:rFonts w:ascii="Arial" w:hAnsi="Arial" w:cs="Arial"/>
          <w:b/>
          <w:i/>
          <w:iCs/>
          <w:color w:val="000000"/>
          <w:sz w:val="16"/>
          <w:szCs w:val="16"/>
        </w:rPr>
        <w:t>deserto</w:t>
      </w:r>
      <w:r w:rsidR="001E684D"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</w:footnote>
  <w:footnote w:id="3">
    <w:p w:rsidR="009E4036" w:rsidRDefault="00AB3D95">
      <w:pPr>
        <w:pStyle w:val="Corpodetexto"/>
      </w:pPr>
      <w:r w:rsidRPr="001E684D">
        <w:rPr>
          <w:rFonts w:ascii="Arial" w:hAnsi="Arial" w:cs="Arial"/>
          <w:i/>
          <w:iCs/>
          <w:color w:val="000000"/>
          <w:sz w:val="16"/>
          <w:szCs w:val="16"/>
        </w:rPr>
        <w:footnoteRef/>
      </w:r>
      <w:r w:rsidRPr="001E684D">
        <w:rPr>
          <w:rFonts w:ascii="Arial" w:hAnsi="Arial" w:cs="Arial"/>
          <w:i/>
          <w:iCs/>
          <w:color w:val="000000"/>
          <w:sz w:val="16"/>
          <w:szCs w:val="16"/>
        </w:rPr>
        <w:t xml:space="preserve"> </w:t>
      </w: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Art. 95. O instrumento de contrato é obrigatório, salvo nas seguintes hipóteses, em que a Administração poderá substituí-lo por outro instrumento hábil, como carta-contrato, </w:t>
      </w: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nota de empenho de despesa</w:t>
      </w:r>
      <w:r>
        <w:rPr>
          <w:rFonts w:ascii="Arial" w:hAnsi="Arial" w:cs="Arial"/>
          <w:i/>
          <w:iCs/>
          <w:color w:val="000000"/>
          <w:sz w:val="16"/>
          <w:szCs w:val="16"/>
        </w:rPr>
        <w:t>, autorização de compra ou ordem de execução de serviço:</w:t>
      </w:r>
    </w:p>
    <w:p w:rsidR="009E4036" w:rsidRDefault="00AB3D95">
      <w:pPr>
        <w:pStyle w:val="Corpodetexto"/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I - dispensa de licitação em razão de valor;</w:t>
      </w:r>
    </w:p>
    <w:p w:rsidR="009E4036" w:rsidRDefault="00AB3D95">
      <w:pPr>
        <w:pStyle w:val="Corpodetexto"/>
      </w:pPr>
      <w:r>
        <w:rPr>
          <w:rFonts w:ascii="Arial" w:hAnsi="Arial" w:cs="Arial"/>
          <w:b/>
          <w:bCs/>
          <w:i/>
          <w:iCs/>
          <w:color w:val="000000"/>
          <w:sz w:val="16"/>
          <w:szCs w:val="16"/>
        </w:rPr>
        <w:t>II - compras com entrega imediata e integral dos bens adquiridos e dos quais não resultem obrigações futuras, inclusive quanto a assistência técnica, independentemente de seu valor.</w:t>
      </w:r>
    </w:p>
    <w:p w:rsidR="009E4036" w:rsidRDefault="00AB3D95">
      <w:pPr>
        <w:pStyle w:val="Corpodetexto"/>
      </w:pPr>
      <w:r>
        <w:rPr>
          <w:rFonts w:ascii="Arial" w:hAnsi="Arial" w:cs="Arial"/>
          <w:i/>
          <w:iCs/>
          <w:color w:val="000000"/>
          <w:sz w:val="16"/>
          <w:szCs w:val="16"/>
        </w:rPr>
        <w:t>§ 1º Às hipóteses de substituição do instrumento de contrato, aplica-se, no que couber, o disposto no </w:t>
      </w:r>
      <w:hyperlink r:id="rId1" w:anchor="art92" w:history="1">
        <w:r>
          <w:rPr>
            <w:rStyle w:val="Hyperlink"/>
            <w:rFonts w:ascii="Arial" w:hAnsi="Arial" w:cs="Arial"/>
            <w:i/>
            <w:iCs/>
            <w:color w:val="000000"/>
            <w:sz w:val="16"/>
            <w:szCs w:val="16"/>
          </w:rPr>
          <w:t>art. 92 desta Lei</w:t>
        </w:r>
      </w:hyperlink>
      <w:r>
        <w:rPr>
          <w:rFonts w:ascii="Arial" w:hAnsi="Arial" w:cs="Arial"/>
          <w:i/>
          <w:iCs/>
          <w:color w:val="000000"/>
          <w:sz w:val="16"/>
          <w:szCs w:val="16"/>
        </w:rPr>
        <w:t>.</w:t>
      </w:r>
    </w:p>
    <w:p w:rsidR="009E4036" w:rsidRPr="001E684D" w:rsidRDefault="00AB3D95" w:rsidP="001E684D">
      <w:pPr>
        <w:pStyle w:val="Corpodetexto"/>
      </w:pPr>
      <w:r>
        <w:rPr>
          <w:rFonts w:ascii="Arial" w:hAnsi="Arial" w:cs="Arial"/>
          <w:i/>
          <w:iCs/>
          <w:color w:val="000000"/>
          <w:sz w:val="16"/>
          <w:szCs w:val="16"/>
        </w:rPr>
        <w:t xml:space="preserve">§ 2º É nulo e de nenhum efeito o contrato verbal com a Administração, salvo o de pequenas compras ou o de prestação de serviços de pronto pagamento, assim entendidos aqueles de valor não superior a R$ 10.000,00 (dez mil </w:t>
      </w:r>
      <w:r>
        <w:rPr>
          <w:rFonts w:ascii="Arial" w:hAnsi="Arial" w:cs="Arial"/>
          <w:i/>
          <w:iCs/>
          <w:color w:val="000000"/>
          <w:sz w:val="16"/>
          <w:szCs w:val="16"/>
        </w:rPr>
        <w:t>reais)</w:t>
      </w:r>
      <w:r w:rsidR="001E684D">
        <w:rPr>
          <w:rFonts w:ascii="Arial" w:hAnsi="Arial" w:cs="Arial"/>
          <w:i/>
          <w:iCs/>
          <w:color w:val="000000"/>
          <w:sz w:val="16"/>
          <w:szCs w:val="16"/>
        </w:rPr>
        <w:t>.</w:t>
      </w: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650" w:type="dxa"/>
      <w:tblInd w:w="40" w:type="dxa"/>
      <w:tblLayout w:type="fixed"/>
      <w:tblCellMar>
        <w:left w:w="40" w:type="dxa"/>
        <w:right w:w="72" w:type="dxa"/>
      </w:tblCellMar>
      <w:tblLook w:val="0000" w:firstRow="0" w:lastRow="0" w:firstColumn="0" w:lastColumn="0" w:noHBand="0" w:noVBand="0"/>
    </w:tblPr>
    <w:tblGrid>
      <w:gridCol w:w="2796"/>
      <w:gridCol w:w="3405"/>
      <w:gridCol w:w="2812"/>
      <w:gridCol w:w="1637"/>
    </w:tblGrid>
    <w:tr w:rsidR="009E4036">
      <w:trPr>
        <w:cantSplit/>
        <w:trHeight w:val="813"/>
      </w:trPr>
      <w:tc>
        <w:tcPr>
          <w:tcW w:w="2796" w:type="dxa"/>
          <w:tcBorders>
            <w:top w:val="double" w:sz="6" w:space="0" w:color="00000A"/>
            <w:left w:val="double" w:sz="6" w:space="0" w:color="00000A"/>
            <w:bottom w:val="double" w:sz="6" w:space="0" w:color="00000A"/>
          </w:tcBorders>
          <w:shd w:val="clear" w:color="auto" w:fill="auto"/>
          <w:vAlign w:val="center"/>
        </w:tcPr>
        <w:p w:rsidR="009E4036" w:rsidRDefault="00AB3D95">
          <w:pPr>
            <w:pStyle w:val="Ttulo2"/>
            <w:tabs>
              <w:tab w:val="num" w:pos="0"/>
            </w:tabs>
            <w:spacing w:before="60" w:after="60"/>
          </w:pPr>
          <w:r>
            <w:rPr>
              <w:noProof/>
              <w:lang w:eastAsia="pt-BR"/>
            </w:rPr>
            <w:drawing>
              <wp:inline distT="0" distB="0" distL="0" distR="0">
                <wp:extent cx="1314450" cy="466725"/>
                <wp:effectExtent l="0" t="0" r="0" b="0"/>
                <wp:docPr id="1" name="Imagem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229" t="-559" r="-229" b="-55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4450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4" w:type="dxa"/>
          <w:gridSpan w:val="3"/>
          <w:tcBorders>
            <w:top w:val="doub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  <w:vAlign w:val="center"/>
        </w:tcPr>
        <w:p w:rsidR="009E4036" w:rsidRDefault="00AB3D95">
          <w:pPr>
            <w:pStyle w:val="Ttulo6"/>
            <w:tabs>
              <w:tab w:val="num" w:pos="0"/>
            </w:tabs>
            <w:rPr>
              <w:sz w:val="28"/>
              <w:szCs w:val="28"/>
            </w:rPr>
          </w:pPr>
          <w:r>
            <w:rPr>
              <w:sz w:val="28"/>
              <w:szCs w:val="28"/>
            </w:rPr>
            <w:t>Autorização do Presidente - Dispensa - Art. 75 da Lei 14.133/2021 - NLLC</w:t>
          </w:r>
        </w:p>
      </w:tc>
    </w:tr>
    <w:tr w:rsidR="009E4036">
      <w:trPr>
        <w:cantSplit/>
      </w:trPr>
      <w:tc>
        <w:tcPr>
          <w:tcW w:w="6201" w:type="dxa"/>
          <w:gridSpan w:val="2"/>
          <w:tcBorders>
            <w:top w:val="double" w:sz="4" w:space="0" w:color="000000"/>
            <w:left w:val="double" w:sz="4" w:space="0" w:color="000000"/>
          </w:tcBorders>
          <w:shd w:val="clear" w:color="auto" w:fill="auto"/>
        </w:tcPr>
        <w:p w:rsidR="009E4036" w:rsidRDefault="00AB3D95">
          <w:pPr>
            <w:snapToGrid w:val="0"/>
            <w:spacing w:before="60" w:after="60"/>
          </w:pPr>
          <w:r>
            <w:rPr>
              <w:rFonts w:ascii="Arial" w:hAnsi="Arial" w:cs="Arial"/>
            </w:rPr>
            <w:t>Processo</w:t>
          </w:r>
        </w:p>
      </w:tc>
      <w:tc>
        <w:tcPr>
          <w:tcW w:w="2812" w:type="dxa"/>
          <w:tcBorders>
            <w:top w:val="double" w:sz="6" w:space="0" w:color="00000A"/>
            <w:left w:val="double" w:sz="4" w:space="0" w:color="000000"/>
            <w:bottom w:val="single" w:sz="6" w:space="0" w:color="00000A"/>
          </w:tcBorders>
          <w:shd w:val="clear" w:color="auto" w:fill="auto"/>
        </w:tcPr>
        <w:p w:rsidR="009E4036" w:rsidRDefault="00AB3D95">
          <w:pPr>
            <w:spacing w:before="60" w:after="60"/>
            <w:jc w:val="center"/>
          </w:pPr>
          <w:r>
            <w:rPr>
              <w:rFonts w:ascii="Arial" w:hAnsi="Arial" w:cs="Arial"/>
            </w:rPr>
            <w:t>Código</w:t>
          </w:r>
        </w:p>
      </w:tc>
      <w:tc>
        <w:tcPr>
          <w:tcW w:w="1637" w:type="dxa"/>
          <w:tcBorders>
            <w:top w:val="double" w:sz="6" w:space="0" w:color="00000A"/>
            <w:left w:val="single" w:sz="6" w:space="0" w:color="00000A"/>
            <w:bottom w:val="single" w:sz="6" w:space="0" w:color="00000A"/>
            <w:right w:val="double" w:sz="6" w:space="0" w:color="00000A"/>
          </w:tcBorders>
          <w:shd w:val="clear" w:color="auto" w:fill="auto"/>
        </w:tcPr>
        <w:p w:rsidR="009E4036" w:rsidRDefault="00AB3D95">
          <w:pPr>
            <w:spacing w:before="60" w:after="60"/>
            <w:jc w:val="center"/>
          </w:pPr>
          <w:r>
            <w:rPr>
              <w:rFonts w:ascii="Arial" w:hAnsi="Arial" w:cs="Arial"/>
            </w:rPr>
            <w:t>Folha nº</w:t>
          </w:r>
        </w:p>
      </w:tc>
    </w:tr>
    <w:tr w:rsidR="009E4036">
      <w:trPr>
        <w:cantSplit/>
      </w:trPr>
      <w:tc>
        <w:tcPr>
          <w:tcW w:w="6201" w:type="dxa"/>
          <w:gridSpan w:val="2"/>
          <w:tcBorders>
            <w:left w:val="double" w:sz="4" w:space="0" w:color="000000"/>
            <w:bottom w:val="double" w:sz="4" w:space="0" w:color="000000"/>
          </w:tcBorders>
          <w:shd w:val="clear" w:color="auto" w:fill="auto"/>
        </w:tcPr>
        <w:p w:rsidR="009E4036" w:rsidRDefault="00AB3D95">
          <w:pPr>
            <w:pStyle w:val="Ttulo2"/>
            <w:tabs>
              <w:tab w:val="num" w:pos="0"/>
            </w:tabs>
          </w:pPr>
          <w:r>
            <w:rPr>
              <w:rFonts w:ascii="Arial" w:hAnsi="Arial" w:cs="Arial"/>
              <w:sz w:val="24"/>
              <w:szCs w:val="24"/>
            </w:rPr>
            <w:t>Gestão das Contratações</w:t>
          </w:r>
        </w:p>
      </w:tc>
      <w:tc>
        <w:tcPr>
          <w:tcW w:w="2812" w:type="dxa"/>
          <w:tcBorders>
            <w:top w:val="single" w:sz="6" w:space="0" w:color="00000A"/>
            <w:left w:val="double" w:sz="4" w:space="0" w:color="000000"/>
            <w:bottom w:val="double" w:sz="6" w:space="0" w:color="00000A"/>
          </w:tcBorders>
          <w:shd w:val="clear" w:color="auto" w:fill="auto"/>
          <w:vAlign w:val="center"/>
        </w:tcPr>
        <w:p w:rsidR="009E4036" w:rsidRDefault="00AB3D95">
          <w:pPr>
            <w:snapToGrid w:val="0"/>
            <w:spacing w:before="60" w:after="60"/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>F.SUBD.68.0</w:t>
          </w:r>
          <w:r w:rsidRPr="001E684D">
            <w:rPr>
              <w:rFonts w:ascii="Arial" w:hAnsi="Arial" w:cs="Arial"/>
              <w:b/>
              <w:sz w:val="24"/>
              <w:szCs w:val="24"/>
            </w:rPr>
            <w:t>1</w:t>
          </w:r>
        </w:p>
      </w:tc>
      <w:tc>
        <w:tcPr>
          <w:tcW w:w="1637" w:type="dxa"/>
          <w:tcBorders>
            <w:top w:val="single" w:sz="6" w:space="0" w:color="00000A"/>
            <w:left w:val="single" w:sz="6" w:space="0" w:color="00000A"/>
            <w:bottom w:val="double" w:sz="6" w:space="0" w:color="00000A"/>
            <w:right w:val="double" w:sz="6" w:space="0" w:color="00000A"/>
          </w:tcBorders>
          <w:shd w:val="clear" w:color="auto" w:fill="auto"/>
        </w:tcPr>
        <w:p w:rsidR="009E4036" w:rsidRDefault="00AB3D95">
          <w:pPr>
            <w:spacing w:before="60" w:after="60"/>
            <w:jc w:val="center"/>
          </w:pPr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bCs/>
              <w:sz w:val="24"/>
              <w:szCs w:val="24"/>
            </w:rPr>
            <w:instrText xml:space="preserve"> PAGE </w:instrText>
          </w:r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separate"/>
          </w:r>
          <w:r w:rsidR="001E684D">
            <w:rPr>
              <w:rFonts w:ascii="Arial" w:hAnsi="Arial" w:cs="Arial"/>
              <w:b/>
              <w:bCs/>
              <w:noProof/>
              <w:sz w:val="24"/>
              <w:szCs w:val="24"/>
            </w:rPr>
            <w:t>2</w:t>
          </w:r>
          <w:r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t>/</w: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begin"/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instrText xml:space="preserve"> NUMPAGES </w:instrTex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separate"/>
          </w:r>
          <w:r w:rsidR="001E684D">
            <w:rPr>
              <w:rFonts w:ascii="Arial" w:hAnsi="Arial" w:cs="Arial"/>
              <w:b/>
              <w:bCs/>
              <w:caps/>
              <w:noProof/>
              <w:sz w:val="24"/>
              <w:szCs w:val="24"/>
            </w:rPr>
            <w:t>2</w:t>
          </w:r>
          <w:r>
            <w:rPr>
              <w:rFonts w:ascii="Arial" w:hAnsi="Arial" w:cs="Arial"/>
              <w:b/>
              <w:bCs/>
              <w:caps/>
              <w:sz w:val="24"/>
              <w:szCs w:val="24"/>
            </w:rPr>
            <w:fldChar w:fldCharType="end"/>
          </w:r>
        </w:p>
      </w:tc>
    </w:tr>
  </w:tbl>
  <w:p w:rsidR="009E4036" w:rsidRDefault="009E403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2A0EC3"/>
    <w:multiLevelType w:val="multilevel"/>
    <w:tmpl w:val="0FA0DE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lang w:val="pt-B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Cs/>
        <w:iCs/>
        <w:lang w:val="pt-BR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A716B89"/>
    <w:multiLevelType w:val="multilevel"/>
    <w:tmpl w:val="58FC39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73C9282D"/>
    <w:multiLevelType w:val="multilevel"/>
    <w:tmpl w:val="EE804922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036"/>
    <w:rsid w:val="000762A2"/>
    <w:rsid w:val="001E684D"/>
    <w:rsid w:val="009E3FC9"/>
    <w:rsid w:val="009E4036"/>
    <w:rsid w:val="00AB3D95"/>
    <w:rsid w:val="00B02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073B6D-B1A4-44D6-8A7A-95DF5BF7E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A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b/>
      <w:sz w:val="5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jc w:val="center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u w:val="single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0"/>
      </w:tabs>
      <w:outlineLvl w:val="3"/>
    </w:pPr>
    <w:rPr>
      <w:sz w:val="24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tabs>
        <w:tab w:val="left" w:pos="0"/>
      </w:tabs>
      <w:jc w:val="center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0"/>
      </w:tabs>
      <w:spacing w:before="60" w:after="60"/>
      <w:jc w:val="center"/>
      <w:outlineLvl w:val="5"/>
    </w:pPr>
    <w:rPr>
      <w:rFonts w:ascii="Arial" w:hAnsi="Arial" w:cs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qFormat/>
    <w:rPr>
      <w:lang w:val="pt-BR"/>
    </w:rPr>
  </w:style>
  <w:style w:type="character" w:customStyle="1" w:styleId="WW8Num2z4">
    <w:name w:val="WW8Num2z4"/>
    <w:qFormat/>
    <w:rPr>
      <w:bCs/>
      <w:iCs/>
      <w:lang w:val="pt-BR"/>
    </w:rPr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styleId="Hyperlink">
    <w:name w:val="Hyperlink"/>
    <w:rPr>
      <w:color w:val="0000FF"/>
      <w:u w:val="single"/>
    </w:rPr>
  </w:style>
  <w:style w:type="character" w:styleId="Nmerodepgina">
    <w:name w:val="page number"/>
    <w:qFormat/>
  </w:style>
  <w:style w:type="character" w:customStyle="1" w:styleId="Fontepargpadro2">
    <w:name w:val="Fonte parág. padrão2"/>
    <w:qFormat/>
  </w:style>
  <w:style w:type="character" w:customStyle="1" w:styleId="WW8Num1z3">
    <w:name w:val="WW8Num1z3"/>
    <w:qFormat/>
  </w:style>
  <w:style w:type="character" w:customStyle="1" w:styleId="RodapChar">
    <w:name w:val="Rodapé Char"/>
    <w:qFormat/>
    <w:rPr>
      <w:color w:val="00000A"/>
    </w:rPr>
  </w:style>
  <w:style w:type="character" w:customStyle="1" w:styleId="WW8Num2z6">
    <w:name w:val="WW8Num2z6"/>
    <w:qFormat/>
  </w:style>
  <w:style w:type="character" w:customStyle="1" w:styleId="WW8Num2z8">
    <w:name w:val="WW8Num2z8"/>
    <w:qFormat/>
  </w:style>
  <w:style w:type="character" w:customStyle="1" w:styleId="WW8Num1z8">
    <w:name w:val="WW8Num1z8"/>
    <w:qFormat/>
  </w:style>
  <w:style w:type="character" w:customStyle="1" w:styleId="Fontepargpadro11">
    <w:name w:val="Fonte parág. padrão11"/>
    <w:qFormat/>
  </w:style>
  <w:style w:type="character" w:customStyle="1" w:styleId="WW8Num1z0">
    <w:name w:val="WW8Num1z0"/>
    <w:qFormat/>
  </w:style>
  <w:style w:type="character" w:customStyle="1" w:styleId="Fontepargpadro5">
    <w:name w:val="Fonte parág. padrão5"/>
    <w:qFormat/>
  </w:style>
  <w:style w:type="character" w:customStyle="1" w:styleId="WW8Num1z1">
    <w:name w:val="WW8Num1z1"/>
    <w:qFormat/>
  </w:style>
  <w:style w:type="character" w:customStyle="1" w:styleId="WW8Num1z5">
    <w:name w:val="WW8Num1z5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2z2">
    <w:name w:val="WW8Num2z2"/>
    <w:qFormat/>
  </w:style>
  <w:style w:type="character" w:customStyle="1" w:styleId="WW8Num1z4">
    <w:name w:val="WW8Num1z4"/>
    <w:qFormat/>
  </w:style>
  <w:style w:type="character" w:customStyle="1" w:styleId="WW8Num2z5">
    <w:name w:val="WW8Num2z5"/>
    <w:qFormat/>
  </w:style>
  <w:style w:type="character" w:customStyle="1" w:styleId="WW8Num2z7">
    <w:name w:val="WW8Num2z7"/>
    <w:qFormat/>
  </w:style>
  <w:style w:type="character" w:customStyle="1" w:styleId="WW8Num2z3">
    <w:name w:val="WW8Num2z3"/>
    <w:qFormat/>
  </w:style>
  <w:style w:type="character" w:customStyle="1" w:styleId="Fontepargpadro1">
    <w:name w:val="Fonte parág. padrão1"/>
    <w:qFormat/>
  </w:style>
  <w:style w:type="character" w:customStyle="1" w:styleId="WW8Num1z2">
    <w:name w:val="WW8Num1z2"/>
    <w:qFormat/>
  </w:style>
  <w:style w:type="character" w:customStyle="1" w:styleId="WW8Num2z1">
    <w:name w:val="WW8Num2z1"/>
    <w:qFormat/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CabealhoChar">
    <w:name w:val="Cabeçalho Char"/>
    <w:qFormat/>
    <w:rPr>
      <w:color w:val="00000A"/>
    </w:rPr>
  </w:style>
  <w:style w:type="character" w:customStyle="1" w:styleId="TextodebaloChar1">
    <w:name w:val="Texto de balão Char1"/>
    <w:qFormat/>
    <w:rPr>
      <w:rFonts w:ascii="Segoe UI" w:eastAsia="Times New Roman" w:hAnsi="Segoe UI" w:cs="Segoe UI"/>
      <w:color w:val="00000A"/>
      <w:sz w:val="18"/>
      <w:szCs w:val="18"/>
      <w:lang w:eastAsia="zh-CN"/>
    </w:rPr>
  </w:style>
  <w:style w:type="character" w:customStyle="1" w:styleId="Caracteresdenotaderodap">
    <w:name w:val="Caracteres de nota de rodapé"/>
    <w:qFormat/>
    <w:rPr>
      <w:vertAlign w:val="superscript"/>
    </w:rPr>
  </w:style>
  <w:style w:type="character" w:styleId="Refdenotaderodap">
    <w:name w:val="footnote reference"/>
    <w:rPr>
      <w:vertAlign w:val="superscript"/>
    </w:rPr>
  </w:style>
  <w:style w:type="character" w:customStyle="1" w:styleId="Caracteresdenotadefim">
    <w:name w:val="Caracteres de nota de fim"/>
    <w:qFormat/>
    <w:rPr>
      <w:vertAlign w:val="superscript"/>
    </w:rPr>
  </w:style>
  <w:style w:type="character" w:customStyle="1" w:styleId="WW-Caracteresdenotadefim">
    <w:name w:val="WW-Caracteres de nota de fim"/>
    <w:qFormat/>
  </w:style>
  <w:style w:type="character" w:styleId="Refdenotadefim">
    <w:name w:val="endnote reference"/>
    <w:rPr>
      <w:vertAlign w:val="superscript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jc w:val="both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Ttulo30">
    <w:name w:val="Título3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tulo20">
    <w:name w:val="Título2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styleId="Subttulo">
    <w:name w:val="Subtitle"/>
    <w:basedOn w:val="Normal"/>
    <w:next w:val="Normal"/>
    <w:qFormat/>
    <w:pPr>
      <w:spacing w:after="60"/>
      <w:jc w:val="center"/>
    </w:pPr>
    <w:rPr>
      <w:rFonts w:ascii="Cambria" w:hAnsi="Cambria" w:cs="Cambria"/>
      <w:szCs w:val="24"/>
    </w:rPr>
  </w:style>
  <w:style w:type="paragraph" w:customStyle="1" w:styleId="WW-Padro">
    <w:name w:val="WW-Padrão"/>
    <w:qFormat/>
    <w:pPr>
      <w:tabs>
        <w:tab w:val="left" w:pos="708"/>
      </w:tabs>
      <w:spacing w:after="200" w:line="276" w:lineRule="auto"/>
    </w:pPr>
    <w:rPr>
      <w:rFonts w:eastAsia="Lucida Sans Unicode" w:cs="Mangal"/>
      <w:sz w:val="24"/>
      <w:szCs w:val="24"/>
      <w:lang w:eastAsia="zh-CN" w:bidi="hi-IN"/>
    </w:rPr>
  </w:style>
  <w:style w:type="paragraph" w:customStyle="1" w:styleId="WW-Ttulo1">
    <w:name w:val="WW-Título1"/>
    <w:basedOn w:val="Normal"/>
    <w:qFormat/>
    <w:pPr>
      <w:jc w:val="center"/>
    </w:pPr>
    <w:rPr>
      <w:rFonts w:ascii="Verdana" w:hAnsi="Verdana" w:cs="Verdana"/>
      <w:b/>
      <w:color w:val="000000"/>
    </w:rPr>
  </w:style>
  <w:style w:type="paragraph" w:customStyle="1" w:styleId="Contedodatabela">
    <w:name w:val="Conteúdo da tabela"/>
    <w:basedOn w:val="Normal"/>
    <w:qFormat/>
  </w:style>
  <w:style w:type="paragraph" w:customStyle="1" w:styleId="Ttulo11">
    <w:name w:val="Título1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WW-Estilopadro">
    <w:name w:val="WW-Estilo padrão"/>
    <w:qFormat/>
    <w:pPr>
      <w:spacing w:after="200" w:line="100" w:lineRule="atLeast"/>
    </w:pPr>
    <w:rPr>
      <w:color w:val="00000A"/>
      <w:sz w:val="24"/>
      <w:szCs w:val="24"/>
      <w:lang w:eastAsia="zh-CN"/>
    </w:rPr>
  </w:style>
  <w:style w:type="paragraph" w:customStyle="1" w:styleId="WW-Corpodotexto">
    <w:name w:val="WW-Corpo do texto"/>
    <w:basedOn w:val="WW-Estilopadro"/>
    <w:qFormat/>
    <w:pPr>
      <w:spacing w:after="120"/>
    </w:pPr>
  </w:style>
  <w:style w:type="paragraph" w:customStyle="1" w:styleId="Corpodetexto21">
    <w:name w:val="Corpo de texto 21"/>
    <w:basedOn w:val="Normal"/>
    <w:qFormat/>
    <w:pPr>
      <w:jc w:val="both"/>
    </w:pPr>
    <w:rPr>
      <w:color w:val="000000"/>
      <w:sz w:val="24"/>
      <w:szCs w:val="24"/>
    </w:rPr>
  </w:style>
  <w:style w:type="paragraph" w:customStyle="1" w:styleId="Corpodetexto22">
    <w:name w:val="Corpo de texto 22"/>
    <w:basedOn w:val="Normal"/>
    <w:qFormat/>
    <w:pPr>
      <w:jc w:val="center"/>
    </w:pPr>
    <w:rPr>
      <w:rFonts w:ascii="Arial" w:hAnsi="Arial" w:cs="Arial"/>
      <w:color w:val="000000"/>
    </w:rPr>
  </w:style>
  <w:style w:type="paragraph" w:customStyle="1" w:styleId="Contedodoquadro">
    <w:name w:val="Conteúdo do quadro"/>
    <w:basedOn w:val="Normal"/>
    <w:qFormat/>
  </w:style>
  <w:style w:type="paragraph" w:customStyle="1" w:styleId="PargrafodaLista1">
    <w:name w:val="Parágrafo da Lista1"/>
    <w:basedOn w:val="Normal"/>
    <w:qFormat/>
    <w:pPr>
      <w:ind w:left="720"/>
      <w:contextualSpacing/>
    </w:pPr>
  </w:style>
  <w:style w:type="paragraph" w:customStyle="1" w:styleId="western">
    <w:name w:val="western"/>
    <w:basedOn w:val="Normal"/>
    <w:qFormat/>
    <w:pPr>
      <w:spacing w:before="280" w:after="119"/>
    </w:pPr>
    <w:rPr>
      <w:color w:val="000000"/>
      <w:sz w:val="24"/>
      <w:szCs w:val="24"/>
    </w:rPr>
  </w:style>
  <w:style w:type="paragraph" w:customStyle="1" w:styleId="WW-Estilopadro1">
    <w:name w:val="WW-Estilo padrão1"/>
    <w:qFormat/>
    <w:pPr>
      <w:widowControl w:val="0"/>
      <w:spacing w:line="100" w:lineRule="atLeast"/>
    </w:pPr>
    <w:rPr>
      <w:rFonts w:eastAsia="Lucida Sans Unicode" w:cs="Mangal"/>
      <w:color w:val="00000A"/>
      <w:sz w:val="24"/>
      <w:szCs w:val="24"/>
      <w:lang w:eastAsia="zh-CN" w:bidi="hi-IN"/>
    </w:rPr>
  </w:style>
  <w:style w:type="paragraph" w:customStyle="1" w:styleId="NormalWeb1">
    <w:name w:val="Normal (Web)1"/>
    <w:basedOn w:val="Normal"/>
    <w:qFormat/>
    <w:pPr>
      <w:spacing w:before="28" w:after="119" w:line="100" w:lineRule="atLeast"/>
    </w:pPr>
    <w:rPr>
      <w:color w:val="000000"/>
      <w:sz w:val="24"/>
      <w:szCs w:val="24"/>
      <w:lang w:bidi="hi-IN"/>
    </w:rPr>
  </w:style>
  <w:style w:type="paragraph" w:customStyle="1" w:styleId="Textodebalo1">
    <w:name w:val="Texto de balão1"/>
    <w:basedOn w:val="Normal"/>
    <w:qFormat/>
    <w:rPr>
      <w:rFonts w:ascii="Tahoma" w:hAnsi="Tahoma" w:cs="Tahoma"/>
      <w:sz w:val="16"/>
      <w:szCs w:val="16"/>
    </w:rPr>
  </w:style>
  <w:style w:type="paragraph" w:customStyle="1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customStyle="1" w:styleId="Ttulo10">
    <w:name w:val="Título1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Normal1">
    <w:name w:val="Normal1"/>
    <w:qFormat/>
    <w:pPr>
      <w:widowControl w:val="0"/>
      <w:spacing w:line="100" w:lineRule="atLeast"/>
    </w:pPr>
    <w:rPr>
      <w:rFonts w:ascii="Times New Roman PSMT" w:eastAsia="Arial" w:hAnsi="Times New Roman PSMT" w:cs="Times New Roman PSMT"/>
      <w:color w:val="000000"/>
      <w:sz w:val="24"/>
      <w:szCs w:val="24"/>
      <w:lang w:eastAsia="zh-CN"/>
    </w:rPr>
  </w:style>
  <w:style w:type="paragraph" w:customStyle="1" w:styleId="Ttuloprincipal">
    <w:name w:val="Título principal"/>
    <w:basedOn w:val="WW-Estilopadro"/>
    <w:qFormat/>
    <w:pPr>
      <w:keepNext/>
      <w:spacing w:before="240" w:after="120" w:line="276" w:lineRule="auto"/>
      <w:jc w:val="center"/>
    </w:pPr>
    <w:rPr>
      <w:rFonts w:ascii="Arial" w:eastAsia="Lucida Sans Unicode" w:hAnsi="Arial" w:cs="Mangal"/>
      <w:b/>
      <w:sz w:val="20"/>
      <w:szCs w:val="20"/>
      <w:lang w:bidi="hi-IN"/>
    </w:rPr>
  </w:style>
  <w:style w:type="paragraph" w:styleId="Textodebalo">
    <w:name w:val="Balloon Text"/>
    <w:basedOn w:val="Normal"/>
    <w:qFormat/>
    <w:rPr>
      <w:rFonts w:ascii="Segoe UI" w:hAnsi="Segoe UI" w:cs="Segoe UI"/>
      <w:sz w:val="18"/>
      <w:szCs w:val="18"/>
      <w:lang w:val="x-none"/>
    </w:rPr>
  </w:style>
  <w:style w:type="paragraph" w:customStyle="1" w:styleId="PargrafodaLista2">
    <w:name w:val="Parágrafo da Lista2"/>
    <w:basedOn w:val="Normal"/>
    <w:qFormat/>
    <w:pPr>
      <w:ind w:left="720"/>
      <w:contextualSpacing/>
    </w:pPr>
  </w:style>
  <w:style w:type="paragraph" w:styleId="Textodenotaderodap">
    <w:name w:val="footnote text"/>
    <w:basedOn w:val="Normal"/>
    <w:pPr>
      <w:suppressLineNumbers/>
      <w:ind w:left="340" w:hanging="3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lanalto.gov.br/ccivil_03/_ato2019-2022/2021/lei/l14133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RS2 Consultoria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google1586952186</dc:creator>
  <dc:description/>
  <cp:lastModifiedBy>Catalina Velásquez Oliveira</cp:lastModifiedBy>
  <cp:revision>5</cp:revision>
  <cp:lastPrinted>2023-09-13T14:45:00Z</cp:lastPrinted>
  <dcterms:created xsi:type="dcterms:W3CDTF">2024-05-08T15:42:00Z</dcterms:created>
  <dcterms:modified xsi:type="dcterms:W3CDTF">2024-05-09T17:49:00Z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ICV">
    <vt:lpwstr>7CE857DA8EB84779B4E3BBF56E54104D</vt:lpwstr>
  </property>
  <property fmtid="{D5CDD505-2E9C-101B-9397-08002B2CF9AE}" pid="4" name="KSOProductBuildVer">
    <vt:lpwstr>1046-11.2.0.11074</vt:lpwstr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